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VwVGBbg (Brandenburg) — Vermögensermittlung</w:t>
      </w:r>
    </w:p>
    <w:p>
      <w:r>
        <w:rPr>
          <w:color w:val="555555"/>
          <w:sz w:val="18"/>
        </w:rPr>
        <w:t xml:space="preserve">Verwaltungsvollstreckungsgesetz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Vorbereitung der Vollstreckung kann die Vollstreckungsbehörde die Vermögens- und Einkommensverhältnisse des Vollstreckungsschuldners ermitteln. Die Vollstreckungsbehörde darf ihr bekannte Daten, soweit sie</w:t>
      </w:r>
    </w:p>
    <w:p>
      <w:r>
        <w:t xml:space="preserve">keinem besonderen gesetzlichen Berufs- oder Amtsgeheimnis unterliegen oder</w:t>
      </w:r>
    </w:p>
    <w:p>
      <w:r>
        <w:t xml:space="preserve">nach § 30 der Abgabenordnung geschützt sind und bei der Vollstreckung wegen Steuern und steuerlicher Nebenleistungen verwendet werden dürften,</w:t>
      </w:r>
    </w:p>
    <w:p>
      <w:r>
        <w:t xml:space="preserve">auch bei der Vollstreckung anderer öffentlich-rechtlicher Geldleistungen verwenden. Eine Weiterverarbeitung dieser Daten ist nur zu Vollstreckungszwecken zulässig.</w:t>
      </w:r>
    </w:p>
    <w:p>
      <w:r>
        <w:t xml:space="preserve">(2) Der Vollstreckungsschuldner und andere Personen haben der Vollstreckungsbehörde die zur Feststellung eines für die Vollstreckung erheblichen Sachverhaltes erforderlichen Auskünfte zu erteilen. Dies gilt auch für nicht rechtsfähige Vereinigungen, Vermögensmassen, Behörden und Betriebe gewerblicher Art der Körperschaften öffentlichen Rechts. Andere Personen als der Vollstreckungsschuldner sollen erst dann zur Auskunft aufgefordert werden, wenn die Sachverhaltsaufklärung durch den Vollstreckungsschuldner nicht zum Ziel führt oder keinen Erfolg verspricht. In dem Auskunftsersuchen ist anzugeben, worüber die Auskünfte erteilt werden sollen. Auskunftsersuchen haben auf Verlangen der Auskunftspflichtigen schriftlich oder durch elektronischen Schriftformersatz zu ergehen.</w:t>
      </w:r>
    </w:p>
    <w:p>
      <w:r>
        <w:rPr>
          <w:color w:val="555555"/>
          <w:sz w:val="17"/>
        </w:rPr>
        <w:t xml:space="preserve">Zitiervorschlag: § 21 VwVGBbg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https://recht.nulegal.eu/gesetze/VwVGBbg/21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