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VwVGBbg (Brandenburg) — Vollstreckung durch Behörden der Finanz- und Justizverwaltung</w:t>
      </w:r>
    </w:p>
    <w:p>
      <w:r>
        <w:rPr>
          <w:color w:val="555555"/>
          <w:sz w:val="18"/>
        </w:rPr>
        <w:t xml:space="preserve">Verwaltungsvollstreckungsgesetz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Wird die Vollstreckung von den Finanzämtern vorgenommen, so ist sie nach den für die Finanzämter geltenden Bestimmungen durchzuführen.</w:t>
      </w:r>
    </w:p>
    <w:p>
      <w:r>
        <w:t xml:space="preserve">(2) Wird die Vollstreckung von Gerichtsvollzieherinnen oder Gerichtsvollziehern im Wege der Amts- oder Vollstreckungshilfe vorgenommen, so ist sie nach den Vorschriften über die Zwangsvollstreckung in bürgerlichen Rechtsstreitigkeiten und den hierfür geltenden Kostenvorschriften durchzuführen; an die Stelle der vollstreckbaren Ausfertigung des Schuldtitels tritt der schriftliche Antrag der Vollstreckungsbehörde.</w:t>
      </w:r>
    </w:p>
    <w:p>
      <w:r>
        <w:rPr>
          <w:color w:val="555555"/>
          <w:sz w:val="17"/>
        </w:rPr>
        <w:t xml:space="preserve">Zitiervorschlag: § 2 VwVGBbg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https://recht.nulegal.eu/gesetze/VwVGBbg/2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VwVGBbg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