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VwVG — Zulässigkeit des Verwaltungszwanges</w:t>
      </w:r>
    </w:p>
    <w:p>
      <w:r>
        <w:rPr>
          <w:color w:val="555555"/>
          <w:sz w:val="18"/>
        </w:rPr>
        <w:t xml:space="preserve">Verwaltungs-Vollstreckungsgesetz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Verwaltungsakt, der auf die Herausgabe einer Sache oder auf die Vornahme einer Handlung oder auf Duldung oder Unterlassung gerichtet ist, kann mit den Zwangsmitteln nach § 9 durchgesetzt werden, wenn er unanfechtbar ist oder wenn sein sofortiger Vollzug angeordnet oder wenn dem Rechtsmittel keine aufschiebende Wirkung beigelegt ist.</w:t>
      </w:r>
    </w:p>
    <w:p>
      <w:r>
        <w:t xml:space="preserve">(2) Der Verwaltungszwang kann ohne vorausgehenden Verwaltungsakt angewendet werden, wenn der sofortige Vollzug zur Verhinderung einer rechtswidrigen Tat, die einen Straf- oder Bußgeldtatbestand verwirklicht, oder zur Abwendung einer drohenden Gefahr notwendig ist und die Behörde hierbei innerhalb ihrer gesetzlichen Befugnisse handelt.</w:t>
      </w:r>
    </w:p>
    <w:p>
      <w:r>
        <w:rPr>
          <w:color w:val="555555"/>
          <w:sz w:val="17"/>
        </w:rPr>
        <w:t xml:space="preserve">Zitiervorschlag: § 6 VwVG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