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VwVG — Anzuwendende Vollstreckungsvorschriften</w:t>
      </w:r>
    </w:p>
    <w:p>
      <w:r>
        <w:rPr>
          <w:color w:val="555555"/>
          <w:sz w:val="18"/>
        </w:rPr>
        <w:t xml:space="preserve">Verwaltungs-Vollstreckungsgesetz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Verwaltungszwangsverfahren und der Vollstreckungsschutz richten sich im Falle des § 4 nach den Vorschriften der Abgabenordnung (§§ 77, 249 bis 258, 260, 262 bis 267, 281 bis 317, 318 Abs. 1 bis 4, §§ 319 bis 327).</w:t>
      </w:r>
    </w:p>
    <w:p>
      <w:r>
        <w:t xml:space="preserve">(2) Wird die Vollstreckung im Wege der Amtshilfe von Organen der Länder vorgenommen, so ist sie nach landesrechtlichen Bestimmungen durchzuführen.</w:t>
      </w:r>
    </w:p>
    <w:p>
      <w:r>
        <w:rPr>
          <w:color w:val="555555"/>
          <w:sz w:val="17"/>
        </w:rPr>
        <w:t xml:space="preserve">Zitiervorschlag: § 5 VwVG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