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VwVG — Vollstreckungsbehörden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Vollstreckungsbehörden sind:</w:t>
      </w:r>
    </w:p>
    <w:p>
      <w:pPr>
        <w:ind w:left="420"/>
      </w:pPr>
      <w:r>
        <w:t xml:space="preserve">a) die von einer obersten Bundesbehörde im Einvernehmen mit dem Bundesminister des Innern, für Bau und Heimat bestimmten Behörden des betreffenden Verwaltungszweiges;</w:t>
      </w:r>
    </w:p>
    <w:p>
      <w:pPr>
        <w:ind w:left="420"/>
      </w:pPr>
      <w:r>
        <w:t xml:space="preserve">b) die Vollstreckungsbehörden der Bundesfinanzverwaltung, wenn eine Bestimmung nach Buchstabe a nicht getroffen worden ist.</w:t>
      </w:r>
    </w:p>
    <w:p>
      <w:r>
        <w:rPr>
          <w:color w:val="555555"/>
          <w:sz w:val="17"/>
        </w:rPr>
        <w:t xml:space="preserve">Zitiervorschlag: § 4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