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VwVG — Vollstreckungsanordnung</w:t>
      </w:r>
    </w:p>
    <w:p>
      <w:r>
        <w:rPr>
          <w:color w:val="555555"/>
          <w:sz w:val="18"/>
        </w:rPr>
        <w:t xml:space="preserve">Verwaltungs-Vollstreckungsgesetz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Vollstreckung wird gegen den Vollstreckungsschuldner durch Vollstreckungsanordnung eingeleitet; eines vollstreckbaren Titels bedarf es nicht.</w:t>
      </w:r>
    </w:p>
    <w:p>
      <w:r>
        <w:t xml:space="preserve">(2) Voraussetzungen für die Einleitung der Vollstreckung sind:</w:t>
      </w:r>
    </w:p>
    <w:p>
      <w:pPr>
        <w:ind w:left="420"/>
      </w:pPr>
      <w:r>
        <w:t xml:space="preserve">a) der Leistungsbescheid, durch den der Schuldner zur Leistung aufgefordert worden ist;</w:t>
      </w:r>
    </w:p>
    <w:p>
      <w:pPr>
        <w:ind w:left="420"/>
      </w:pPr>
      <w:r>
        <w:t xml:space="preserve">b) die Fälligkeit der Leistung;</w:t>
      </w:r>
    </w:p>
    <w:p>
      <w:pPr>
        <w:ind w:left="420"/>
      </w:pPr>
      <w:r>
        <w:t xml:space="preserve">c) der Ablauf einer Frist von einer Woche seit Bekanntgabe des Leistungsbescheides oder, wenn die Leistung erst danach fällig wird, der Ablauf einer Frist von einer Woche nach Eintritt der Fälligkeit.</w:t>
      </w:r>
    </w:p>
    <w:p>
      <w:r>
        <w:t xml:space="preserve">(3) Vor Anordnung der Vollstreckung soll der Schuldner ferner mit einer Zahlungsfrist von einer weiteren Woche besonders gemahnt werden.</w:t>
      </w:r>
    </w:p>
    <w:p>
      <w:r>
        <w:t xml:space="preserve">(4) Die Vollstreckungsanordnung wird von der Behörde erlassen, die den Anspruch geltend machen darf.</w:t>
      </w:r>
    </w:p>
    <w:p>
      <w:r>
        <w:rPr>
          <w:color w:val="555555"/>
          <w:sz w:val="17"/>
        </w:rPr>
        <w:t xml:space="preserve">Zitiervorschlag: § 3 VwVG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