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VwVG — Außerkrafttreten früherer Bestimmungen</w:t>
      </w:r>
    </w:p>
    <w:p>
      <w:r>
        <w:rPr>
          <w:color w:val="555555"/>
          <w:sz w:val="18"/>
        </w:rPr>
        <w:t xml:space="preserve">Verwaltungs-Vollstreckungsgesetz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 Vollstreckung in Bundesgesetzen abweichend von diesem Gesetz geregelt ist, sind für Bundesbehörden und bundesunmittelbare juristische Personen des öffentlichen Rechts die Bestimmungen dieses Gesetzes anzuwenden; § 1 Abs. 3 bleibt unberührt.</w:t>
      </w:r>
    </w:p>
    <w:p>
      <w:r>
        <w:rPr>
          <w:color w:val="555555"/>
          <w:sz w:val="17"/>
        </w:rPr>
        <w:t xml:space="preserve">Zitiervorschlag: § 20 VwVG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