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VwVG — Kosten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30.09.2019 (konsolidierte Textfassung, kein amtliches Inkrafttretensdatum)</w:t>
      </w:r>
    </w:p>
    <w:p>
      <w:r>
        <w:t xml:space="preserve">(1) Für Amtshandlungen nach diesem Gesetz werden Kosten (Gebühren und Auslagen) gemäß § 337 Abs. 1, §§ 338 bis 346 der Abgabenordnung erhoben. Für die Gewährung einer Entschädigung an Auskunftspflichtige, Sachverständige und Treuhänder gelten §§ 107 und 318 Abs. 5 der Abgabenordnung.</w:t>
      </w:r>
    </w:p>
    <w:p>
      <w:r>
        <w:t xml:space="preserve">(2) Für die Mahnung nach § 3 Abs. 3 wird eine Mahngebühr erhoben. Sie beträgt ein halbes Prozent des Mahnbetrages, mindestens jedoch 5 Euro und höchstens 150 Euro. Die Mahngebühr wird auf volle Euro aufgerundet.</w:t>
      </w:r>
    </w:p>
    <w:p>
      <w:r>
        <w:t xml:space="preserve">(3) Soweit die Bundespolizei nach diesem Gesetz tätig wird, werden Gebühren und Auslagen nach dem Bundesgebührengesetz erhoben.</w:t>
      </w:r>
    </w:p>
    <w:p>
      <w:r>
        <w:rPr>
          <w:color w:val="555555"/>
          <w:sz w:val="17"/>
        </w:rPr>
        <w:t xml:space="preserve">Zitiervorschlag: § 19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