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VwVG — Rechtsmittel</w:t>
      </w:r>
    </w:p>
    <w:p>
      <w:r>
        <w:rPr>
          <w:color w:val="555555"/>
          <w:sz w:val="18"/>
        </w:rPr>
        <w:t xml:space="preserve">Verwaltungs-Vollstreckungsgesetz</w:t>
      </w:r>
    </w:p>
    <w:p>
      <w:r>
        <w:rPr>
          <w:color w:val="555555"/>
          <w:sz w:val="18"/>
        </w:rPr>
        <w:t xml:space="preserve">Stand: 10.06.2019 (konsolidierte Textfassung, kein amtliches Inkrafttretensdatum)</w:t>
      </w:r>
    </w:p>
    <w:p>
      <w:r>
        <w:t xml:space="preserve">(1) Gegen die Androhung eines Zwangsmittels sind die Rechtsmittel gegeben, die gegen den Verwaltungsakt zulässig sind, dessen Durchsetzung erzwungen werden soll. Ist die Androhung mit dem zugrunde liegenden Verwaltungsakt verbunden, so erstreckt sich das Rechtsmittel zugleich auf den Verwaltungsakt, soweit er nicht bereits Gegenstand eines Rechtsmittel- oder gerichtlichen Verfahrens ist. Ist die Androhung nicht mit dem zugrunde liegenden Verwaltungsakt verbunden und ist dieser unanfechtbar geworden, so kann die Androhung nur insoweit angefochten werden, als eine Rechtsverletzung durch die Androhung selbst behauptet wird.</w:t>
      </w:r>
    </w:p>
    <w:p>
      <w:r>
        <w:t xml:space="preserve">(2) Wird ein Zwangsmittel ohne vorausgehenden Verwaltungsakt angewendet (§ 6 Abs. 2), so sind hiergegen die Rechtsmittel zulässig, die gegen Verwaltungsakte allgemein gegeben sind.</w:t>
      </w:r>
    </w:p>
    <w:p>
      <w:r>
        <w:rPr>
          <w:color w:val="555555"/>
          <w:sz w:val="17"/>
        </w:rPr>
        <w:t xml:space="preserve">Zitiervorschlag: § 18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