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VwVG — Anwendung der Zwangsmittel</w:t>
      </w:r>
    </w:p>
    <w:p>
      <w:r>
        <w:rPr>
          <w:color w:val="555555"/>
          <w:sz w:val="18"/>
        </w:rPr>
        <w:t xml:space="preserve">Verwaltungs-Vollstreckungsgesetz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Das Zwangsmittel wird der Festsetzung gemäß angewendet.</w:t>
      </w:r>
    </w:p>
    <w:p>
      <w:r>
        <w:t xml:space="preserve">(2) Leistet der Pflichtige bei der Ersatzvornahme oder bei unmittelbarem Zwang Widerstand, so kann dieser mit Gewalt gebrochen werden. Die Polizei hat auf Verlangen der Vollzugsbehörde Amtshilfe zu leisten.</w:t>
      </w:r>
    </w:p>
    <w:p>
      <w:r>
        <w:t xml:space="preserve">(3) Der Vollzug ist einzustellen, sobald sein Zweck erreicht ist.</w:t>
      </w:r>
    </w:p>
    <w:p>
      <w:r>
        <w:rPr>
          <w:color w:val="555555"/>
          <w:sz w:val="17"/>
        </w:rPr>
        <w:t xml:space="preserve">Zitiervorschlag: § 15 VwVG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https://recht.nulegal.eu/gesetze/VwVG/15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