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VwVG — Festsetzung der Zwangsmittel</w:t>
      </w:r>
    </w:p>
    <w:p>
      <w:r>
        <w:rPr>
          <w:color w:val="555555"/>
          <w:sz w:val="18"/>
        </w:rPr>
        <w:t xml:space="preserve">Verwaltungs-Vollstreckungsgesetz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Wird die Verpflichtung innerhalb der Frist, die in der Androhung bestimmt ist, nicht erfüllt, so setzt die Vollzugsbehörde das Zwangsmittel fest. Bei sofortigem Vollzug (§ 6 Abs. 2) fällt die Festsetzung weg.</w:t>
      </w:r>
    </w:p>
    <w:p>
      <w:r>
        <w:rPr>
          <w:color w:val="555555"/>
          <w:sz w:val="17"/>
        </w:rPr>
        <w:t xml:space="preserve">Zitiervorschlag: § 14 VwVG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https://recht.nulegal.eu/gesetze/VwVG/14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