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VwVG — Vollstreckbare Geldforderungen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öffentlich-rechtlichen Geldforderungen des Bundes und der bundesunmittelbaren juristischen Personen des öffentlichen Rechts werden nach den Bestimmungen dieses Gesetzes im Verwaltungswege vollstreckt.</w:t>
      </w:r>
    </w:p>
    <w:p>
      <w:r>
        <w:t xml:space="preserve">(2) Ausgenommen sind solche öffentlich-rechtlichen Geldforderungen, die im Wege des Parteistreites vor den Verwaltungsgerichten verfolgt werden oder für die ein anderer Rechtsweg als der Verwaltungsrechtsweg begründet ist.</w:t>
      </w:r>
    </w:p>
    <w:p>
      <w:r>
        <w:t xml:space="preserve">(3) Die Vorschriften der Abgabenordnung des Sozialversicherungsrechts einschließlich der Arbeitslosenversicherung und des Justizbeitreibungsgesetzes bleiben unberührt.</w:t>
      </w:r>
    </w:p>
    <w:p>
      <w:r>
        <w:rPr>
          <w:color w:val="555555"/>
          <w:sz w:val="17"/>
        </w:rPr>
        <w:t xml:space="preserve">Zitiervorschlag: § 1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