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VwRehaGSchäV</w:t>
      </w:r>
    </w:p>
    <w:p>
      <w:r>
        <w:rPr>
          <w:color w:val="555555"/>
          <w:sz w:val="18"/>
        </w:rPr>
        <w:t xml:space="preserve">Verordnung über die schädigenden Ereignisse und gesundheitlichen Schädigungen im Sinne des § 3 Absatz 6 Satz 1 des Verwaltungsrechtlichen Rehabilitierungsgesetzes</w:t>
      </w:r>
    </w:p>
    <w:p>
      <w:r>
        <w:rPr>
          <w:color w:val="555555"/>
          <w:sz w:val="18"/>
        </w:rPr>
        <w:t xml:space="preserve">Stand: 20.05.2026 (konsolidierte Textfassung, kein amtliches Inkrafttretensdatum)</w:t>
      </w:r>
    </w:p>
    <w:p>
      <w:r>
        <w:t xml:space="preserve">Das Bundesministerium der Justiz und für Verbraucherschutz verordnet aufgrund des § 3 Absatz 6 Satz 2 des Verwaltungsrechtlichen Rehabilitierungsgesetzes in der Fassung der Bekanntmachung vom 1. Juli 1997 (BGBl. I S. 1620), das zuletzt durch Artikel 4 des Gesetzes vom 25. Februar 2025 (BGBl. 2025 I Nr. 63) geändert worden ist, in Verbindung mit § 1 Absatz 2 des Zuständigkeitsanpassungsgesetzes vom 16. August 2002 (BGBl. I S. 3165), das durch Artikel 7 der Verordnung vom 31. August 2015 (BGBl. I S. 1474) geändert worden ist, und dem Organisationserlass vom 6. Mai 2025 (BGBl. 2025 I Nr. 131) im Einvernehmen mit dem Bundesministerium für Gesundheit und dem Bundesministerium für Arbeit und Soziales sowie im Benehmen mit der Bundesbeauftragten für die Opfer der SED-Diktatur beim Deutschen Bundestag:</w:t>
      </w:r>
    </w:p>
    <w:p>
      <w:r>
        <w:rPr>
          <w:color w:val="555555"/>
          <w:sz w:val="17"/>
        </w:rPr>
        <w:t xml:space="preserve">Zitiervorschlag: Eingangsformel VwRehaGSchäV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https://recht.nulegal.eu/gesetze/VwRehaGSch%C3%A4V/eingangsformel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