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VwRehaGSchäV — Gesundheitliche Schädigungen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3 Absatz 6 Satz 1 des Verwaltungsrechtlichen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Gesundheitliche Schädigungen im Sinne des § 3 Absatz 6 Satz 1 des Verwaltungsrechtlichen Rehabilitierungsgesetzes sind folgende gesundheitliche Beeinträchtigungen:</w:t>
      </w:r>
    </w:p>
    <w:p>
      <w:pPr>
        <w:ind w:left="420"/>
      </w:pPr>
      <w:r>
        <w:t xml:space="preserve">1. depressive Störungen und</w:t>
      </w:r>
    </w:p>
    <w:p>
      <w:pPr>
        <w:ind w:left="420"/>
      </w:pPr>
      <w:r>
        <w:t xml:space="preserve">2. posttraumatische Belastungsstörungen.</w:t>
      </w:r>
    </w:p>
    <w:p>
      <w:r>
        <w:t xml:space="preserve">Liegt ein schädigendes Ereignis nach § 1 Nummer 2 vor, sind auch angst- oder furchtbezogene Störungen sowie somatische Belastungsstörungen oder Störungen der Körpererfahrung jeweils gesundheitliche Schädigungen im Sinne des § 3 Absatz 6 Satz 1 des Verwaltungsrechtlichen Rehabilitierungsgesetzes.</w:t>
      </w:r>
    </w:p>
    <w:p>
      <w:r>
        <w:rPr>
          <w:color w:val="555555"/>
          <w:sz w:val="17"/>
        </w:rPr>
        <w:t xml:space="preserve">Zitiervorschlag: § 2 VwRehaGSchäV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https://recht.nulegal.eu/gesetze/VwRehaGSch%C3%A4V/2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VwRehaGSchäV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