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VwRehaGSchäV — Schädigende Ereignisse</w:t>
      </w:r>
    </w:p>
    <w:p>
      <w:r>
        <w:rPr>
          <w:color w:val="555555"/>
          <w:sz w:val="18"/>
        </w:rPr>
        <w:t xml:space="preserve">Verordnung über die schädigenden Ereignisse und gesundheitlichen Schädigungen im Sinne des § 3 Absatz 6 Satz 1 des Verwaltungsrechtlichen Rehabilitierungsgesetzes</w:t>
      </w:r>
    </w:p>
    <w:p>
      <w:r>
        <w:rPr>
          <w:color w:val="555555"/>
          <w:sz w:val="18"/>
        </w:rPr>
        <w:t xml:space="preserve">Stand: 20.05.2026 (konsolidierte Textfassung, kein amtliches Inkrafttretensdatum)</w:t>
      </w:r>
    </w:p>
    <w:p>
      <w:r>
        <w:t xml:space="preserve">Schädigende Ereignisse im Sinne des § 3 Absatz 6 Satz 1 des Verwaltungsrechtlichen Rehabilitierungsgesetzes sind:</w:t>
      </w:r>
    </w:p>
    <w:p>
      <w:pPr>
        <w:ind w:left="420"/>
      </w:pPr>
      <w:r>
        <w:t xml:space="preserve">1. Zwangsaussiedlungen im Sinne des § 1 Absatz 3 Satz 1 in Verbindung mit Absatz 2 des Verwaltungsrechtlichen Rehabilitierungsgesetzes und</w:t>
      </w:r>
    </w:p>
    <w:p>
      <w:pPr>
        <w:ind w:left="420"/>
      </w:pPr>
      <w:r>
        <w:t xml:space="preserve">2. Zersetzungsmaßnahmen im Sinne des § 1a Absatz 2 Satz 1 Nummer 1 und Satz 3 des Verwaltungsrechtlichen Rehabilitierungsgesetzes.</w:t>
      </w:r>
    </w:p>
    <w:p>
      <w:r>
        <w:rPr>
          <w:color w:val="555555"/>
          <w:sz w:val="17"/>
        </w:rPr>
        <w:t xml:space="preserve">Zitiervorschlag: § 1 VwRehaGSchäV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https://recht.nulegal.eu/gesetze/VwRehaGSch%C3%A4V/1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