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VwRehaG — Rechtsweg</w:t>
      </w:r>
    </w:p>
    <w:p>
      <w:r>
        <w:rPr>
          <w:color w:val="555555"/>
          <w:sz w:val="18"/>
        </w:rPr>
        <w:t xml:space="preserve">Verwaltungsrechtliches Rehabilitierungsgesetz</w:t>
      </w:r>
    </w:p>
    <w:p>
      <w:r>
        <w:rPr>
          <w:color w:val="555555"/>
          <w:sz w:val="18"/>
        </w:rPr>
        <w:t xml:space="preserve">Stand: 01.01.2024 (konsolidierte Textfassung, kein amtliches Inkrafttretensdatum)</w:t>
      </w:r>
    </w:p>
    <w:p>
      <w:r>
        <w:t xml:space="preserve">(1) In Streitigkeiten nach diesem Gesetz ist der Verwaltungsrechtsweg gegeben. Die Berufung gegen ein Urteil und die Beschwerde gegen eine andere Entscheidung des Verwaltungsgerichts sind ausgeschlossen. Das gilt nicht für die Beschwerde gegen die Nichtzulassung der Revision nach § 135 in Verbindung mit § 133 der Verwaltungsgerichtsordnung und die Beschwerde gegen Beschlüsse über den Rechtsweg nach § 17a Abs. 2 und 3 des Gerichtsverfassungsgesetzes. Auf die Beschwerde gegen die Beschlüsse über den Rechtsweg findet § 17a Abs. 4 Satz 4 bis 6 des Gerichtsverfassungsgesetzes entsprechend Anwendung.</w:t>
      </w:r>
    </w:p>
    <w:p>
      <w:r>
        <w:t xml:space="preserve">(2) In Streitigkeiten über Leistungen nach den §§ 3 und 4 entscheiden die Gerichte der Sozialgerichtsbarkeit. Für diese Verfahren sind die Vorschriften des Sozialgerichtsgesetzes für Angelegenheiten des Sozialen Entschädigungsrechts maßgebend.</w:t>
      </w:r>
    </w:p>
    <w:p>
      <w:r>
        <w:rPr>
          <w:color w:val="555555"/>
          <w:sz w:val="17"/>
        </w:rPr>
        <w:t xml:space="preserve">Zitiervorschlag: § 16 VwRehaG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https://recht.nulegal.eu/gesetze/VwRehaG/16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