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VwRehaG — Verwaltungsverfahren</w:t>
      </w:r>
    </w:p>
    <w:p>
      <w:r>
        <w:rPr>
          <w:color w:val="555555"/>
          <w:sz w:val="18"/>
        </w:rPr>
        <w:t xml:space="preserve">Verwaltungsrechtliches Rehabilitierungsgesetz</w:t>
      </w:r>
    </w:p>
    <w:p>
      <w:r>
        <w:rPr>
          <w:color w:val="555555"/>
          <w:sz w:val="18"/>
        </w:rPr>
        <w:t xml:space="preserve">Stand: 10.06.2019 (konsolidierte Textfassung, kein amtliches Inkrafttretensdatum)</w:t>
      </w:r>
    </w:p>
    <w:p>
      <w:r>
        <w:t xml:space="preserve">(1) In dem Verfahren vor der Rehabilitierungsbehörde sind Zeugen zur Aussage und Sachverständige zur Erstattung von Gutachten verpflichtet. § 65 des Verwaltungsverfahrensgesetzes gilt entsprechend.</w:t>
      </w:r>
    </w:p>
    <w:p>
      <w:r>
        <w:t xml:space="preserve">(2) Die Angaben des Antragstellers, die sich auf die Rechtsstaatswidrigkeit einer Maßnahme im Sinne des § 1 oder § 1a beziehen, können, wenn Beweismittel nicht vorhanden oder nicht zu beschaffen oder ohne Verschulden des Antragstellers oder desjenigen, von dem er seine Rechte herleitet, verlorengegangen sind, der Entscheidung zugrunde gelegt werden, soweit sie glaubhaft erscheinen. Unter den Voraussetzungen des Satzes 1 kann die Rehabilitierungsbehörde vom Antragsteller die Versicherung an Eides Statt gemäß § 27 des Verwaltungsverfahrensgesetzes verlangen.</w:t>
      </w:r>
    </w:p>
    <w:p>
      <w:r>
        <w:t xml:space="preserve">(3) Soweit in diesem Gesetz nichts anderes bestimmt ist, gelten bis zum Erlaß entsprechender landesrechtlicher Bestimmungen die Vorschriften des Verwaltungsverfahrensgesetzes, des Verwaltungszustellungsgesetzes und des Verwaltungs-Vollstreckungsgesetzes.</w:t>
      </w:r>
    </w:p>
    <w:p>
      <w:r>
        <w:rPr>
          <w:color w:val="555555"/>
          <w:sz w:val="17"/>
        </w:rPr>
        <w:t xml:space="preserve">Zitiervorschlag: § 13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