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VwRehaG — Verarbeitung von personenbezogenen Daten</w:t>
      </w:r>
    </w:p>
    <w:p>
      <w:r>
        <w:rPr>
          <w:color w:val="555555"/>
          <w:sz w:val="18"/>
        </w:rPr>
        <w:t xml:space="preserve">Verwaltungsrechtliches Rehabilitierungsgesetz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Personenbezogene Daten aus einem verwaltungsrechtlichen Rehabilitierungsverfahren dürfen auch für andere Verfahren zur Rehabilitierung, Wiedergutmachung oder Gewährung von Leistungen nach dem Häftlingshilfegesetz soweit erforderlich verarbeitet werden.</w:t>
      </w:r>
    </w:p>
    <w:p>
      <w:r>
        <w:rPr>
          <w:color w:val="555555"/>
          <w:sz w:val="17"/>
        </w:rPr>
        <w:t xml:space="preserve">Zitiervorschlag: § 11 VwRehaG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https://recht.nulegal.eu/gesetze/VwRehaG/11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