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VwRefATZV (Bayern)</w:t>
      </w:r>
    </w:p>
    <w:p>
      <w:r>
        <w:rPr>
          <w:color w:val="555555"/>
          <w:sz w:val="18"/>
        </w:rPr>
        <w:t xml:space="preserve">Verwaltungsreform-Teilzeitverordnung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80d Abs. 5 Satz 3 des Bayerischen Beamtengesetzes (BayBG) in der Fassung der Bekanntmachung vom 27. August 1998 (GVBl S. 702, BayRS 2030-1-1-F), zuletzt geändert durch § 1 des Gesetzes vom 7. Dezember 2004 (GVBl S. 489), erlässt die Bayerische Staatsregierung folgende Verordnung:</w:t>
      </w:r>
    </w:p>
    <w:p>
      <w:r>
        <w:rPr>
          <w:color w:val="555555"/>
          <w:sz w:val="17"/>
        </w:rPr>
        <w:t xml:space="preserve">Zitiervorschlag: Eingangsformel VwRefATZV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https://recht.nulegal.eu/gesetze/VwRefATZV/eingangsformel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