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VwGmbHVtr</w:t>
      </w:r>
    </w:p>
    <w:p>
      <w:r>
        <w:rPr>
          <w:color w:val="555555"/>
          <w:sz w:val="18"/>
        </w:rPr>
        <w:t xml:space="preserve">Vertrag über die Regelung der Rechtsverhältnisse bei der Volkswagenwerk Gesellschaft mit beschränkter Haftung und über die Errichtung einer "Stiftung Volkswagenwerk" (Anlage zum Gesetz über die Regelung der Rechtsverhältnisse bei der Volkswagenwerk Gesellschaft mit beschränkter Haftung)</w:t>
      </w:r>
    </w:p>
    <w:p>
      <w:r>
        <w:rPr>
          <w:color w:val="555555"/>
          <w:sz w:val="18"/>
        </w:rPr>
        <w:t xml:space="preserve">Stand: 10.06.2019 (konsolidierte Textfassung, kein amtliches Inkrafttretensdatum)</w:t>
      </w:r>
    </w:p>
    <w:p>
      <w:r>
        <w:t xml:space="preserve">Der Vertrag tritt nach Billigung durch die gesetzgebenden Körperschaften des Bundes und des Landes Niedersachsen in Kraft.</w:t>
      </w:r>
    </w:p>
    <w:p>
      <w:r>
        <w:rPr>
          <w:color w:val="555555"/>
          <w:sz w:val="17"/>
        </w:rPr>
        <w:t xml:space="preserve">Zitiervorschlag: § 7 VwGmbHVtr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https://recht.nulegal.eu/gesetze/VwGmbHVtr/7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