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(1) Das Oberverwaltungsgericht besteht aus dem Präsidenten und aus den Vorsitzenden Richtern und weiteren Richtern in erforderlicher Anzahl.</w:t>
      </w:r>
    </w:p>
    <w:p>
      <w:r>
        <w:t xml:space="preserve">(2) Bei dem Oberverwaltungsgericht werden Senate gebildet.</w:t>
      </w:r>
    </w:p>
    <w:p>
      <w:r>
        <w:t xml:space="preserve">(3) Die Senate des Oberverwaltungsgerichts entscheiden in der Besetzung von drei Richtern; die Landesgesetzgebung kann vorsehen, daß die Senate in der Besetzung von fünf Richtern entscheiden, von denen zwei auch ehrenamtliche Richter sein können. Für die Fälle des § 48 Abs. 1 kann auch vorgesehen werden, daß die Senate in der Besetzung von fünf Richtern und zwei ehrenamtlichen Richtern entscheiden. Satz 1 Halbsatz 2 und Satz 2 gelten nicht für die Fälle des § 99 Abs. 2.</w:t>
      </w:r>
    </w:p>
    <w:p>
      <w:r>
        <w:t xml:space="preserve">(4) In Verfahren nach § 48 Absatz 1 Satz 1 Nummer 3 bis 15 kann der Senat den Rechtsstreit einem seiner Mitglieder als Einzelrichter zur Entscheidung übertragen, wenn</w:t>
      </w:r>
    </w:p>
    <w:p>
      <w:pPr>
        <w:ind w:left="420"/>
      </w:pPr>
      <w:r>
        <w:t xml:space="preserve">1. die Sache keine besonderen Schwierigkeiten tatsächlicher oder rechtlicher Art aufweist und</w:t>
      </w:r>
    </w:p>
    <w:p>
      <w:pPr>
        <w:ind w:left="420"/>
      </w:pPr>
      <w:r>
        <w:t xml:space="preserve">2. die Rechtssache keine grundsätzliche Bedeutung hat.</w:t>
      </w:r>
    </w:p>
    <w:p>
      <w:r>
        <w:t xml:space="preserve">§ 6 Absatz 2 bis 4 gilt entsprechend.</w:t>
      </w:r>
    </w:p>
    <w:p>
      <w:r>
        <w:rPr>
          <w:color w:val="555555"/>
          <w:sz w:val="17"/>
        </w:rPr>
        <w:t xml:space="preserve">Zitiervorschlag: § 9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