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83 VwGO</w:t>
      </w:r>
    </w:p>
    <w:p>
      <w:r>
        <w:rPr>
          <w:color w:val="555555"/>
          <w:sz w:val="18"/>
        </w:rPr>
        <w:t xml:space="preserve">Verwaltungsgerichtsordnung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sachliche und örtliche Zuständigkeit gelten die §§ 17 bis 17b des Gerichtsverfassungsgesetzes entsprechend. Beschlüsse entsprechend § 17a Abs. 2 und 3 des Gerichtsverfassungsgesetzes sind unanfechtbar.</w:t>
      </w:r>
    </w:p>
    <w:p>
      <w:r>
        <w:rPr>
          <w:color w:val="555555"/>
          <w:sz w:val="17"/>
        </w:rPr>
        <w:t xml:space="preserve">Zitiervorschlag: § 83 VwGO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https://recht.nulegal.eu/gesetze/VwGO/83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