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Die Klage ist bei dem Gericht schriftlich zu erheben. Bei dem Verwaltungsgericht kann sie auch zu Protokoll des Urkundsbeamten der Geschäftsstelle erhoben werden. § 129a Absatz 2 der Zivilprozessordnung gilt entsprechend.</w:t>
      </w:r>
    </w:p>
    <w:p>
      <w:r>
        <w:t xml:space="preserve">(2) Der Klage und allen Schriftsätzen sollen vorbehaltlich des § 55a Absatz 5 Satz 3 Abschriften für die übrigen Beteiligten beigefügt werden.</w:t>
      </w:r>
    </w:p>
    <w:p>
      <w:r>
        <w:rPr>
          <w:color w:val="555555"/>
          <w:sz w:val="17"/>
        </w:rPr>
        <w:t xml:space="preserve">Zitiervorschlag: § 81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https://recht.nulegal.eu/gesetze/VwGO/81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