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Klage ist zu richten</w:t>
      </w:r>
    </w:p>
    <w:p>
      <w:pPr>
        <w:ind w:left="420"/>
      </w:pPr>
      <w:r>
        <w:t xml:space="preserve">1. gegen den Bund, das Land oder die Körperschaft, deren Behörde den angefochtenen Verwaltungsakt erlassen oder den beantragten Verwaltungsakt unterlassen hat; zur Bezeichnung des Beklagten genügt die Angabe der Behörde,</w:t>
      </w:r>
    </w:p>
    <w:p>
      <w:pPr>
        <w:ind w:left="420"/>
      </w:pPr>
      <w:r>
        <w:t xml:space="preserve">2. sofern das Landesrecht dies bestimmt, gegen die Behörde selbst, die den angefochtenen Verwaltungsakt erlassen oder den beantragten Verwaltungsakt unterlassen hat.</w:t>
      </w:r>
    </w:p>
    <w:p>
      <w:r>
        <w:t xml:space="preserve">(2) Wenn ein Widerspruchsbescheid erlassen ist, der erstmalig eine Beschwer enthält (§ 68 Abs. 1 Satz 2 Nr. 2), ist Behörde im Sinne des Absatzes 1 die Widerspruchsbehörde.</w:t>
      </w:r>
    </w:p>
    <w:p>
      <w:r>
        <w:rPr>
          <w:color w:val="555555"/>
          <w:sz w:val="17"/>
        </w:rPr>
        <w:t xml:space="preserve">Zitiervorschlag: § 78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