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77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Alle bundesrechtlichen Vorschriften in anderen Gesetzen über Einspruchs- oder Beschwerdeverfahren sind durch die Vorschriften dieses Abschnitts ersetzt.</w:t>
      </w:r>
    </w:p>
    <w:p>
      <w:r>
        <w:t xml:space="preserve">(2) Das gleiche gilt für landesrechtliche Vorschriften über Einspruchs- oder Beschwerdeverfahren als Voraussetzung der verwaltungsgerichtlichen Klage.</w:t>
      </w:r>
    </w:p>
    <w:p>
      <w:r>
        <w:rPr>
          <w:color w:val="555555"/>
          <w:sz w:val="17"/>
        </w:rPr>
        <w:t xml:space="preserve">Zitiervorschlag: § 77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https://recht.nulegal.eu/gesetze/VwGO/77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