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Anfechtungsklage muß innerhalb eines Monats nach Zustellung des Widerspruchsbescheids erhoben werden. Ist nach § 68 ein Widerspruchsbescheid nicht erforderlich, so muß die Klage innerhalb eines Monats nach Bekanntgabe des Verwaltungsakts erhoben werden.</w:t>
      </w:r>
    </w:p>
    <w:p>
      <w:r>
        <w:t xml:space="preserve">(2) Für die Verpflichtungsklage gilt Absatz 1 entsprechend, wenn der Antrag auf Vornahme des Verwaltungsakts abgelehnt worden ist.</w:t>
      </w:r>
    </w:p>
    <w:p>
      <w:r>
        <w:rPr>
          <w:color w:val="555555"/>
          <w:sz w:val="17"/>
        </w:rPr>
        <w:t xml:space="preserve">Zitiervorschlag: § 74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