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Hilft die Behörde dem Widerspruch nicht ab, so ergeht ein Widerspruchsbescheid. Diesen erläßt</w:t>
      </w:r>
    </w:p>
    <w:p>
      <w:pPr>
        <w:ind w:left="420"/>
      </w:pPr>
      <w:r>
        <w:t xml:space="preserve">1. die nächsthöhere Behörde, soweit nicht durch Gesetz eine andere höhere Behörde bestimmt wird,</w:t>
      </w:r>
    </w:p>
    <w:p>
      <w:pPr>
        <w:ind w:left="420"/>
      </w:pPr>
      <w:r>
        <w:t xml:space="preserve">2. wenn die nächsthöhere Behörde eine oberste Bundes- oder oberste Landesbehörde ist, die Behörde, die den Verwaltungsakt erlassen hat,</w:t>
      </w:r>
    </w:p>
    <w:p>
      <w:pPr>
        <w:ind w:left="420"/>
      </w:pPr>
      <w:r>
        <w:t xml:space="preserve">3. in Selbstverwaltungsangelegenheiten die Selbstverwaltungsbehörde, soweit nicht durch Gesetz anderes bestimmt wird.</w:t>
      </w:r>
    </w:p>
    <w:p>
      <w:r>
        <w:t xml:space="preserve">Abweichend von Satz 2 Nr. 1 kann durch Gesetz bestimmt werden, dass die Behörde, die den Verwaltungsakt erlassen hat, auch für die Entscheidung über den Widerspruch zuständig ist.</w:t>
      </w:r>
    </w:p>
    <w:p>
      <w:r>
        <w:t xml:space="preserve">(2) Vorschriften, nach denen im Vorverfahren des Absatzes 1 Ausschüsse oder Beiräte an die Stelle einer Behörde treten, bleiben unberührt. Die Ausschüsse oder Beiräte können abweichend von Absatz 1 Nr. 1 auch bei der Behörde gebildet werden, die den Verwaltungsakt erlassen hat.</w:t>
      </w:r>
    </w:p>
    <w:p>
      <w:r>
        <w:t xml:space="preserve">(3) Der Widerspruchsbescheid ist zu begründen, mit einer Rechtsmittelbelehrung zu versehen und zuzustellen. Zugestellt wird von Amts wegen nach den Vorschriften des Verwaltungszustellungsgesetzes. Der Widerspruchsbescheid bestimmt auch, wer die Kosten trägt.</w:t>
      </w:r>
    </w:p>
    <w:p>
      <w:r>
        <w:rPr>
          <w:color w:val="555555"/>
          <w:sz w:val="17"/>
        </w:rPr>
        <w:t xml:space="preserve">Zitiervorschlag: § 73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