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Erhebung der Anfechtungsklage sind Rechtmäßigkeit und Zweckmäßigkeit des Verwaltungsakts in einem Vorverfahren nachzuprüfen. Einer solchen Nachprüfung bedarf es nicht, wenn ein Gesetz dies bestimmt oder wenn</w:t>
      </w:r>
    </w:p>
    <w:p>
      <w:pPr>
        <w:ind w:left="420"/>
      </w:pPr>
      <w:r>
        <w:t xml:space="preserve">1. der Verwaltungsakt von einer obersten Bundesbehörde oder von einer obersten Landesbehörde erlassen worden ist, außer wenn ein Gesetz die Nachprüfung vorschreibt, oder</w:t>
      </w:r>
    </w:p>
    <w:p>
      <w:pPr>
        <w:ind w:left="420"/>
      </w:pPr>
      <w:r>
        <w:t xml:space="preserve">2. der Abhilfebescheid oder der Widerspruchsbescheid erstmalig eine Beschwer enthält.</w:t>
      </w:r>
    </w:p>
    <w:p>
      <w:r>
        <w:t xml:space="preserve">(2) Für die Verpflichtungsklage gilt Absatz 1 entsprechend, wenn der Antrag auf Vornahme des Verwaltungsakts abgelehnt worden ist.</w:t>
      </w:r>
    </w:p>
    <w:p>
      <w:r>
        <w:rPr>
          <w:color w:val="555555"/>
          <w:sz w:val="17"/>
        </w:rPr>
        <w:t xml:space="preserve">Zitiervorschlag: § 68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