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Beteiligte am Verfahren sind</w:t>
      </w:r>
    </w:p>
    <w:p>
      <w:pPr>
        <w:ind w:left="420"/>
      </w:pPr>
      <w:r>
        <w:t xml:space="preserve">1. der Kläger,</w:t>
      </w:r>
    </w:p>
    <w:p>
      <w:pPr>
        <w:ind w:left="420"/>
      </w:pPr>
      <w:r>
        <w:t xml:space="preserve">2. der Beklagte,</w:t>
      </w:r>
    </w:p>
    <w:p>
      <w:pPr>
        <w:ind w:left="420"/>
      </w:pPr>
      <w:r>
        <w:t xml:space="preserve">3. der Beigeladene (§ 65),</w:t>
      </w:r>
    </w:p>
    <w:p>
      <w:pPr>
        <w:ind w:left="420"/>
      </w:pPr>
      <w:r>
        <w:t xml:space="preserve">4. der Vertreter des Bundesinteresses beim Bundesverwaltungsgericht oder der Vertreter des öffentlichen Interesses, falls er von seiner Beteiligungsbefugnis Gebrauch macht.</w:t>
      </w:r>
    </w:p>
    <w:p>
      <w:r>
        <w:rPr>
          <w:color w:val="555555"/>
          <w:sz w:val="17"/>
        </w:rPr>
        <w:t xml:space="preserve">Zitiervorschlag: § 63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