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Anordnungen und Entscheidungen, durch die eine Frist in Lauf gesetzt wird, sowie Terminbestimmungen und Ladungen sind zuzustellen, bei Verkündung jedoch nur, wenn es ausdrücklich vorgeschrieben ist.</w:t>
      </w:r>
    </w:p>
    <w:p>
      <w:r>
        <w:t xml:space="preserve">(2) Zugestellt wird von Amts wegen nach den Vorschriften der Zivilprozessordnung.</w:t>
      </w:r>
    </w:p>
    <w:p>
      <w:r>
        <w:t xml:space="preserve">(3) Wer nicht im Inland wohnt, hat auf Verlangen einen Zustellungsbevollmächtigten zu bestellen.</w:t>
      </w:r>
    </w:p>
    <w:p>
      <w:r>
        <w:rPr>
          <w:color w:val="555555"/>
          <w:sz w:val="17"/>
        </w:rPr>
        <w:t xml:space="preserve">Zitiervorschlag: § 56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