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Ausschließung und Ablehnung der Gerichtspersonen gelten §§ 41 bis 49 der Zivilprozeßordnung entsprechend.</w:t>
      </w:r>
    </w:p>
    <w:p>
      <w:r>
        <w:t xml:space="preserve">(2) Von der Ausübung des Amtes als Richter oder ehrenamtlicher Richter ist auch ausgeschlossen, wer bei dem vorausgegangenen Verwaltungsverfahren mitgewirkt hat.</w:t>
      </w:r>
    </w:p>
    <w:p>
      <w:r>
        <w:t xml:space="preserve">(3) Besorgnis der Befangenheit nach § 42 der Zivilprozeßordnung ist stets dann begründet, wenn der Richter oder ehrenamtliche Richter der Vertretung einer Körperschaft angehört, deren Interessen durch das Verfahren berührt werden.</w:t>
      </w:r>
    </w:p>
    <w:p>
      <w:r>
        <w:rPr>
          <w:color w:val="555555"/>
          <w:sz w:val="17"/>
        </w:rPr>
        <w:t xml:space="preserve">Zitiervorschlag: § 54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