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VwGO</w:t>
      </w:r>
    </w:p>
    <w:p>
      <w:r>
        <w:rPr>
          <w:color w:val="555555"/>
          <w:sz w:val="18"/>
        </w:rPr>
        <w:t xml:space="preserve">Verwaltungsgerichtsordnung</w:t>
      </w:r>
    </w:p>
    <w:p>
      <w:r>
        <w:rPr>
          <w:color w:val="555555"/>
          <w:sz w:val="18"/>
        </w:rPr>
        <w:t xml:space="preserve">Stand: 02.04.2026 (konsolidierte Textfassung, kein amtliches Inkrafttretensdatum)</w:t>
      </w:r>
    </w:p>
    <w:p>
      <w:r>
        <w:t xml:space="preserve">(1) Das Bundesverwaltungsgericht entscheidet im ersten und letzten Rechtszug</w:t>
      </w:r>
    </w:p>
    <w:p>
      <w:pPr>
        <w:ind w:left="420"/>
      </w:pPr>
      <w:r>
        <w:t xml:space="preserve">1. über öffentlich-rechtliche Streitigkeiten nichtverfassungsrechtlicher Art zwischen dem Bund und den Ländern und zwischen verschiedenen Ländern,</w:t>
      </w:r>
    </w:p>
    <w:p>
      <w:pPr>
        <w:ind w:left="420"/>
      </w:pPr>
      <w:r>
        <w:t xml:space="preserve">2. über Klagen gegen die vom Bundesminister des Innern, für Bau und Heimat nach § 3 Abs. 2 Nr. 2 des Vereinsgesetzes ausgesprochenen Vereinsverbote und nach § 8 Abs. 2 Satz 1 des Vereinsgesetzes erlassenen Verfügungen,</w:t>
      </w:r>
    </w:p>
    <w:p>
      <w:pPr>
        <w:ind w:left="420"/>
      </w:pPr>
      <w:r>
        <w:t xml:space="preserve">3. über Streitigkeiten gegen Abschiebungsanordnungen nach § 58a des Aufenthaltsgesetzes und ihre Vollziehung sowie den Erlass eines Einreise- und Aufenthaltsverbots auf dieser Grundlage,</w:t>
      </w:r>
    </w:p>
    <w:p>
      <w:pPr>
        <w:ind w:left="420"/>
      </w:pPr>
      <w:r>
        <w:t xml:space="preserve">4. über Klagen, denen Vorgänge im Geschäftsbereich des Bundesnachrichtendienstes zugrunde liegen,</w:t>
      </w:r>
    </w:p>
    <w:p>
      <w:pPr>
        <w:ind w:left="420"/>
      </w:pPr>
      <w:r>
        <w:t xml:space="preserve">5. über Klagen gegen Maßnahmen und Entscheidungen nach § 12 Absatz 3a des Abgeordnetengesetzes, nach den Vorschriften des Elften Abschnitts des Abgeordnetengesetzes, nach § 6b des Bundesministergesetzes und nach § 7 des Gesetzes über die Rechtsverhältnisse der Parlamentarischen Staatssekretäre in Verbindung mit § 6b des Bundesministergesetzes,</w:t>
      </w:r>
    </w:p>
    <w:p>
      <w:pPr>
        <w:ind w:left="420"/>
      </w:pPr>
      <w:r>
        <w:t xml:space="preserve">6. über sämtliche Streitigkeiten, die Planfeststellungsverfahren und Plangenehmigungsverfahren für Vorhaben betreffen, die in dem Allgemeinen Eisenbahngesetz, dem Bundeswasserstraßengesetz, dem Energieleitungsausbaugesetz, dem Bundesbedarfsplangesetz, dem § 43e Absatz 4 des Energiewirtschaftsgesetzes, dem § 76 Absatz 1 des Windenergie-auf-See-Gesetzes oder dem Magnetschwebebahnplanungsgesetz bezeichnet sind, über sämtliche Streitigkeiten zu Verfahren im Sinne des § 17e Absatz 1 des Bundesfernstraßengesetzes, über sämtliche Streitigkeiten, die in § 9 Absatz 2 des Wasserstoffbeschleunigungsgesetzes bezeichnet sind, sowie über die ihm nach dem LNG-Beschleunigungsgesetz zugewiesenen Verfahren,</w:t>
      </w:r>
    </w:p>
    <w:p>
      <w:pPr>
        <w:ind w:left="420"/>
      </w:pPr>
      <w:r>
        <w:t xml:space="preserve">7. über die ihm nach dem Energiesicherungsgesetz zugewiesenen Verfahren.</w:t>
      </w:r>
    </w:p>
    <w:p>
      <w:r>
        <w:t xml:space="preserve">(2) In Verfahren nach Absatz 1 Nummer 6 ist § 48 Absatz 3 entsprechend anzuwenden.</w:t>
      </w:r>
    </w:p>
    <w:p>
      <w:r>
        <w:t xml:space="preserve">(3) Hält das Bundesverwaltungsgericht nach Absatz 1 Nr. 1 eine Streitigkeit für verfassungsrechtlich, so legt es die Sache dem Bundesverfassungsgericht zur Entscheidung vor.</w:t>
      </w:r>
    </w:p>
    <w:p>
      <w:r>
        <w:rPr>
          <w:color w:val="555555"/>
          <w:sz w:val="17"/>
        </w:rPr>
        <w:t xml:space="preserve">Zitiervorschlag: § 50 VwGO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https://recht.nulegal.eu/gesetze/VwGO/50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