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Bundesverwaltungsgericht entscheidet über das Rechtsmittel</w:t>
      </w:r>
    </w:p>
    <w:p>
      <w:pPr>
        <w:ind w:left="420"/>
      </w:pPr>
      <w:r>
        <w:t xml:space="preserve">1. der Revision gegen Urteile des Oberverwaltungsgerichts nach § 132,</w:t>
      </w:r>
    </w:p>
    <w:p>
      <w:pPr>
        <w:ind w:left="420"/>
      </w:pPr>
      <w:r>
        <w:t xml:space="preserve">2. der Revision gegen Urteile des Verwaltungsgerichts nach §§ 134 und 135,</w:t>
      </w:r>
    </w:p>
    <w:p>
      <w:pPr>
        <w:ind w:left="420"/>
      </w:pPr>
      <w:r>
        <w:t xml:space="preserve">3. der Beschwerde nach § 99 Abs. 2 und § 133 Abs. 1 dieses Gesetzes sowie nach § 17a Abs. 4 Satz 4 des Gerichtsverfassungsgesetzes.</w:t>
      </w:r>
    </w:p>
    <w:p>
      <w:r>
        <w:rPr>
          <w:color w:val="555555"/>
          <w:sz w:val="17"/>
        </w:rPr>
        <w:t xml:space="preserve">Zitiervorschlag: § 49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