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VwGO</w:t>
      </w:r>
    </w:p>
    <w:p>
      <w:r>
        <w:rPr>
          <w:color w:val="555555"/>
          <w:sz w:val="18"/>
        </w:rPr>
        <w:t xml:space="preserve">Verwaltungsgerichtsordnung</w:t>
      </w:r>
    </w:p>
    <w:p>
      <w:r>
        <w:rPr>
          <w:color w:val="555555"/>
          <w:sz w:val="18"/>
        </w:rPr>
        <w:t xml:space="preserve">Stand: 02.04.2026 (konsolidierte Textfassung, kein amtliches Inkrafttretensdatum)</w:t>
      </w:r>
    </w:p>
    <w:p>
      <w:r>
        <w:t xml:space="preserve">(1) Das Oberverwaltungsgericht entscheidet im ersten Rechtszug über sämtliche Streitigkeiten, die betreffen</w:t>
      </w:r>
    </w:p>
    <w:p>
      <w:pPr>
        <w:ind w:left="420"/>
      </w:pPr>
      <w:r>
        <w:t xml:space="preserve">1. die Errichtung, den Betrieb, die sonstige Innehabung, die Veränderung, die Stillegung, den sicheren Einschluß und den Abbau von Anlagen im Sinne der §§ 7 und 9a Abs. 3 des Atomgesetzes,</w:t>
      </w:r>
    </w:p>
    <w:p>
      <w:pPr>
        <w:ind w:left="420"/>
      </w:pPr>
      <w:r>
        <w:t xml:space="preserve">1a. das Bestehen und die Höhe von Ausgleichsansprüchen auf Grund der §§ 7e und 7f des Atomgesetzes,</w:t>
      </w:r>
    </w:p>
    <w:p>
      <w:pPr>
        <w:ind w:left="420"/>
      </w:pPr>
      <w:r>
        <w:t xml:space="preserve">2. die Bearbeitung, Verarbeitung und sonstige Verwendung von Kernbrennstoffen außerhalb von Anlagen der in § 7 des Atomgesetzes bezeichneten Art (§ 9 des Atomgesetzes) und die wesentliche Abweichung oder die wesentliche Veränderung im Sinne des § 9 Abs. 1 Satz 2 des Atomgesetzes sowie die Aufbewahrung von Kernbrennstoffen außerhalb der staatlichen Verwahrung (§ 6 des Atomgesetzes),</w:t>
      </w:r>
    </w:p>
    <w:p>
      <w:pPr>
        <w:ind w:left="420"/>
      </w:pPr>
      <w:r>
        <w:t xml:space="preserve">3. die Errichtung, den Betrieb und die Änderung von Kraftwerken mit Feuerungsanlagen für feste, flüssige und gasförmige Brennstoffe mit einer Feuerungswärmeleistung von mehr als dreihundert Megawatt,</w:t>
      </w:r>
    </w:p>
    <w:p>
      <w:pPr>
        <w:ind w:left="420"/>
      </w:pPr>
      <w:r>
        <w:t xml:space="preserve">3a. die Errichtung, den Betrieb und die Änderung von Anlagen zur Nutzung von Windenergie an Land mit einer Gesamthöhe von mehr als 50 Metern sowie Anlagen von Windenergie auf See im Küstenmeer,</w:t>
      </w:r>
    </w:p>
    <w:p>
      <w:pPr>
        <w:ind w:left="420"/>
      </w:pPr>
      <w:r>
        <w:t xml:space="preserve">3b. die Errichtung, den Betrieb und die Änderung von Kraft-Wärme-Kopplungsanlagen im Sinne des Kraft-Wärme-Kopplungsgesetzes ab einer Feuerungswärmeleistung von 50 Megawatt,</w:t>
      </w:r>
    </w:p>
    <w:p>
      <w:pPr>
        <w:ind w:left="420"/>
      </w:pPr>
      <w:r>
        <w:t xml:space="preserve">3c. die Errichtung, den Betrieb und die Änderung von</w:t>
      </w:r>
    </w:p>
    <w:p>
      <w:pPr>
        <w:ind w:left="780"/>
      </w:pPr>
      <w:r>
        <w:t xml:space="preserve">a) Anlagen nach § 2 Nummer 1 des Geothermie-Beschleunigungsgesetzes vom 22. Dezember 2025 (BGBl. 2025 I Nr. 348, S. 2) in der jeweils geltenden Fassung einschließlich der Streitigkeiten nach § 10 Absatz 2 des Geothermie-Beschleunigungsgesetzes,</w:t>
      </w:r>
    </w:p>
    <w:p>
      <w:pPr>
        <w:ind w:left="780"/>
      </w:pPr>
      <w:r>
        <w:t xml:space="preserve">b) Anlagen nach § 2 Nummer 3 des Geothermie-Beschleunigungsgesetzes mit einer thermischen Leistung von mindestens 500 Kilowatt einschließlich der Streitigkeiten nach § 10 Absatz 2 des Geothermie-Beschleunigungsgesetzes sowie</w:t>
      </w:r>
    </w:p>
    <w:p>
      <w:pPr>
        <w:ind w:left="780"/>
      </w:pPr>
      <w:r>
        <w:t xml:space="preserve">c) Leitungen nach § 2 Nummer 5 des Geothermie-Beschleunigungsgesetzes einschließlich der Streitigkeiten nach § 10 Absatz 2 des Geothermie-Beschleunigungsgesetzes,</w:t>
      </w:r>
    </w:p>
    <w:p>
      <w:pPr>
        <w:ind w:left="420"/>
      </w:pPr>
      <w:r>
        <w:t xml:space="preserve">3d. die Errichtung, den Betrieb und die Änderung von</w:t>
      </w:r>
    </w:p>
    <w:p>
      <w:pPr>
        <w:ind w:left="780"/>
      </w:pPr>
      <w:r>
        <w:t xml:space="preserve">a) Anlagen nach § 2 Absatz 1 Nummer 1 des Wasserstoffbeschleunigungsgesetzes vom 29. März 2026 (BGBl. 2026 I Nr. 84, S. 2), in der jeweils geltenden Fassung, mit einer elektrischen Nennleistung von mindestens 30 Megawatt und den dazugehörigen Leitungen nach § 2 Absatz 1 Nummer 13 und 14 des Wasserstoffbeschleunigungsgesetzes und</w:t>
      </w:r>
    </w:p>
    <w:p>
      <w:pPr>
        <w:ind w:left="780"/>
      </w:pPr>
      <w:r>
        <w:t xml:space="preserve">b) Anlagen nach § 2 Absatz 1 Nummer 3 des Wasserstoffbeschleunigungsgesetzes, sofern diese eine Speicherkapazität von 25 Tonnen Wasserstoff oder mehr haben, und der dazugehörigen Leitungen nach § 2 Absatz 1 Nummer 13 und 14 des Wasserstoffbeschleunigungsgesetzes,</w:t>
      </w:r>
    </w:p>
    <w:p>
      <w:pPr>
        <w:ind w:left="420"/>
      </w:pPr>
      <w:r>
        <w:t xml:space="preserve">4. Planfeststellungsverfahren gemäß § 43 des Energiewirtschaftsgesetzes, soweit nicht die Zuständigkeit des Bundesverwaltungsgerichts nach § 50 Absatz 1 Nummer 6 begründet ist,</w:t>
      </w:r>
    </w:p>
    <w:p>
      <w:pPr>
        <w:ind w:left="420"/>
      </w:pPr>
      <w:r>
        <w:t xml:space="preserve">4a. Planfeststellungs- oder Plangenehmigungsverfahren für die Errichtung, den Betrieb und die Änderung von Einrichtungen nach § 66 Absatz 1 des Windenergie-auf-See-Gesetzes, soweit nicht die Zuständigkeit des Bundesverwaltungsgerichts nach § 50 Absatz 1 Nummer 6 begründet ist,</w:t>
      </w:r>
    </w:p>
    <w:p>
      <w:pPr>
        <w:ind w:left="420"/>
      </w:pPr>
      <w:r>
        <w:t xml:space="preserve">5. Verfahren für die Errichtung, den Betrieb und die wesentliche Änderung von ortsfesten Anlagen zur Verbrennung oder thermischen Zersetzung von Abfällen mit einer jährlichen Durchsatzleistung (effektive Leistung) von mehr als einhunderttausend Tonnen und von ortsfesten Anlagen, in denen ganz oder teilweise Abfälle im Sinne des § 48 des Kreislaufwirtschaftsgesetzes gelagert oder abgelagert werden,</w:t>
      </w:r>
    </w:p>
    <w:p>
      <w:pPr>
        <w:ind w:left="420"/>
      </w:pPr>
      <w:r>
        <w:t xml:space="preserve">6. das Anlegen, die Erweiterung oder Änderung und den Betrieb von Verkehrsflughäfen und von Verkehrslandeplätzen mit beschränktem Bauschutzbereich,</w:t>
      </w:r>
    </w:p>
    <w:p>
      <w:pPr>
        <w:ind w:left="420"/>
      </w:pPr>
      <w:r>
        <w:t xml:space="preserve">7. Planfeststellungsverfahren für den Bau oder die Änderung der Strecken von Straßenbahnen, Magnetschwebebahnen und von öffentlichen Eisenbahnen sowie für den Bau oder die Änderung von Rangier- und Containerbahnhöfen,</w:t>
      </w:r>
    </w:p>
    <w:p>
      <w:pPr>
        <w:ind w:left="420"/>
      </w:pPr>
      <w:r>
        <w:t xml:space="preserve">8. Planfeststellungsverfahren für den Bau oder die Änderung von Bundesfernstraßen und Landesstraßen,</w:t>
      </w:r>
    </w:p>
    <w:p>
      <w:pPr>
        <w:ind w:left="420"/>
      </w:pPr>
      <w:r>
        <w:t xml:space="preserve">9. Planfeststellungsverfahren für den Neubau oder den Ausbau von Bundeswasserstraßen,</w:t>
      </w:r>
    </w:p>
    <w:p>
      <w:pPr>
        <w:ind w:left="420"/>
      </w:pPr>
      <w:r>
        <w:t xml:space="preserve">10. Planfeststellungsverfahren für Maßnahmen des öffentlichen Küsten- oder Hochwasserschutzes,</w:t>
      </w:r>
    </w:p>
    <w:p>
      <w:pPr>
        <w:ind w:left="420"/>
      </w:pPr>
      <w:r>
        <w:t xml:space="preserve">11. Planfeststellungsverfahren nach § 68 Absatz 1 des Wasserhaushaltsgesetzes oder nach landesrechtlichen Vorschriften für die Errichtung, die Erweiterung oder die Änderung von Häfen, die für Wasserfahrzeuge mit mehr als 1 350 Tonnen Tragfähigkeit zugänglich sind, unbeschadet der Nummer 9,</w:t>
      </w:r>
    </w:p>
    <w:p>
      <w:pPr>
        <w:ind w:left="420"/>
      </w:pPr>
      <w:r>
        <w:t xml:space="preserve">12. Planfeststellungsverfahren nach § 68 Absatz 1 des Wasserhaushaltsgesetzes für die Errichtung, die Erweiterung oder die Änderung von Wasserkraftanlagen mit einer elektrischen Nettoleistung von mehr als 100 Megawatt,</w:t>
      </w:r>
    </w:p>
    <w:p>
      <w:pPr>
        <w:ind w:left="420"/>
      </w:pPr>
      <w:r>
        <w:t xml:space="preserve">12a Gewässerbenutzungen im Zusammenhang mit der aufgrund des Kohleverstromungsbeendigungsgesetzes vorgesehenen Einstellung von Braunkohletagebauen,</w:t>
      </w:r>
    </w:p>
    <w:p>
      <w:pPr>
        <w:ind w:left="420"/>
      </w:pPr>
      <w:r>
        <w:t xml:space="preserve">12b Planfeststellungsverfahren für Gewässerausbauten im Zusammenhang mit der aufgrund des Kohleverstromungsbeendigungsgesetzes vorgesehenen Einstellung von Braunkohletagebauen,</w:t>
      </w:r>
    </w:p>
    <w:p>
      <w:pPr>
        <w:ind w:left="420"/>
      </w:pPr>
      <w:r>
        <w:t xml:space="preserve">13. Planfeststellungsverfahren nach dem Bundesberggesetz,</w:t>
      </w:r>
    </w:p>
    <w:p>
      <w:pPr>
        <w:ind w:left="420"/>
      </w:pPr>
      <w:r>
        <w:t xml:space="preserve">14. Zulassungen von</w:t>
      </w:r>
    </w:p>
    <w:p>
      <w:pPr>
        <w:ind w:left="780"/>
      </w:pPr>
      <w:r>
        <w:t xml:space="preserve">a) Rahmenbetriebsplänen,</w:t>
      </w:r>
    </w:p>
    <w:p>
      <w:pPr>
        <w:ind w:left="780"/>
      </w:pPr>
      <w:r>
        <w:t xml:space="preserve">b) Hauptbetriebsplänen,</w:t>
      </w:r>
    </w:p>
    <w:p>
      <w:pPr>
        <w:ind w:left="780"/>
      </w:pPr>
      <w:r>
        <w:t xml:space="preserve">c) Sonderbetriebsplänen und</w:t>
      </w:r>
    </w:p>
    <w:p>
      <w:pPr>
        <w:ind w:left="780"/>
      </w:pPr>
      <w:r>
        <w:t xml:space="preserve">d) Abschlussbetriebsplänen</w:t>
      </w:r>
    </w:p>
    <w:p>
      <w:pPr>
        <w:ind w:left="420"/>
      </w:pPr>
      <w:r>
        <w:t xml:space="preserve">sowie Grundabtretungsbeschlüsse, jeweils im Zusammenhang mit der aufgrund des Kohleverstromungsbeendigungsgesetzes vorgesehenen Einstellung von Braunkohletagebauen,</w:t>
      </w:r>
    </w:p>
    <w:p>
      <w:pPr>
        <w:ind w:left="420"/>
      </w:pPr>
      <w:r>
        <w:t xml:space="preserve">15. Planfeststellungsverfahren nach § 65 Absatz 1 in Verbindung mit Anlage 1 Nummer 19.7 des Gesetzes über die Umweltverträglichkeitsprüfung für die Errichtung und den Betrieb oder die Änderung von Dampf- oder Warmwasserpipelines und</w:t>
      </w:r>
    </w:p>
    <w:p>
      <w:pPr>
        <w:ind w:left="420"/>
      </w:pPr>
      <w:r>
        <w:t xml:space="preserve">16. Planfeststellungs- oder Plangenehmigungsverfahren sowie Genehmigungsverfahren nach dem Kohlendioxid-Speicherung-und-Transport-Gesetz.</w:t>
      </w:r>
    </w:p>
    <w:p>
      <w:r>
        <w:t xml:space="preserve">Satz 1 gilt auch für Streitigkeiten über Genehmigungen, die anstelle einer Planfeststellung erteilt werden, sowie für Streitigkeiten über sämtliche für das Vorhaben erforderlichen Genehmigungen und Erlaubnisse, auch soweit sie Nebeneinrichtungen betreffen, die mit ihm in einem räumlichen und betrieblichen Zusammenhang stehen. Die Länder können durch Gesetz vorschreiben, daß über Streitigkeiten, die Besitzeinweisungen in den Fällen des Satzes 1 betreffen, das Oberverwaltungsgericht im ersten Rechtszug entscheidet.</w:t>
      </w:r>
    </w:p>
    <w:p>
      <w:r>
        <w:t xml:space="preserve">(2) Das Oberverwaltungsgericht entscheidet im ersten Rechtszug ferner über Klagen gegen die von einer obersten Landesbehörde nach § 3 Abs. 2 Nr. 1 des Vereinsgesetzes ausgesprochenen Vereinsverbote und nach § 8 Abs. 2 Satz 1 des Vereinsgesetzes erlassenen Verfügungen.</w:t>
      </w:r>
    </w:p>
    <w:p>
      <w:r>
        <w:t xml:space="preserve">(3) Abweichend von § 21e Absatz 4 des Gerichtsverfassungsgesetzes soll das Präsidium des Oberverwaltungsgerichts anordnen, dass ein Spruchkörper, der in einem Verfahren nach Absatz 1 Satz 1 Nummer 3 bis 16 tätig geworden ist, für dieses nach einer Änderung der Geschäftsverteilung zuständig bleibt.</w:t>
      </w:r>
    </w:p>
    <w:p>
      <w:r>
        <w:rPr>
          <w:color w:val="555555"/>
          <w:sz w:val="17"/>
        </w:rPr>
        <w:t xml:space="preserve">Zitiervorschlag: § 48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