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46 VwGO</w:t>
      </w:r>
    </w:p>
    <w:p>
      <w:r>
        <w:rPr>
          <w:color w:val="555555"/>
          <w:sz w:val="18"/>
        </w:rPr>
        <w:t xml:space="preserve">Verwaltungsgerichtsordnung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Oberverwaltungsgericht entscheidet über das Rechtsmittel</w:t>
      </w:r>
    </w:p>
    <w:p>
      <w:pPr>
        <w:ind w:left="420"/>
      </w:pPr>
      <w:r>
        <w:t xml:space="preserve">1. der Berufung gegen Urteile des Verwaltungsgerichts und</w:t>
      </w:r>
    </w:p>
    <w:p>
      <w:pPr>
        <w:ind w:left="420"/>
      </w:pPr>
      <w:r>
        <w:t xml:space="preserve">2. der Beschwerde gegen andere Entscheidungen des Verwaltungsgerichts.</w:t>
      </w:r>
    </w:p>
    <w:p>
      <w:pPr>
        <w:ind w:left="420"/>
      </w:pPr>
      <w:r>
        <w:t xml:space="preserve">3. (weggefallen)</w:t>
      </w:r>
    </w:p>
    <w:p>
      <w:r>
        <w:rPr>
          <w:color w:val="555555"/>
          <w:sz w:val="17"/>
        </w:rPr>
        <w:t xml:space="preserve">Zitiervorschlag: § 46 VwGO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https://recht.nulegal.eu/gesetze/VwGO/46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