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Klage kann die Aufhebung eines Verwaltungsakts (Anfechtungsklage) sowie die Verurteilung zum Erlaß eines abgelehnten oder unterlassenen Verwaltungsakts (Verpflichtungsklage) begehrt werden.</w:t>
      </w:r>
    </w:p>
    <w:p>
      <w:r>
        <w:t xml:space="preserve">(2) Soweit gesetzlich nichts anderes bestimmt ist, ist die Klage nur zulässig, wenn der Kläger geltend macht, durch den Verwaltungsakt oder seine Ablehnung oder Unterlassung in seinen Rechten verletzt zu sein.</w:t>
      </w:r>
    </w:p>
    <w:p>
      <w:r>
        <w:rPr>
          <w:color w:val="555555"/>
          <w:sz w:val="17"/>
        </w:rPr>
        <w:t xml:space="preserve">Zitiervorschlag: § 42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