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40 VwGO</w:t>
      </w:r>
    </w:p>
    <w:p>
      <w:r>
        <w:rPr>
          <w:color w:val="555555"/>
          <w:sz w:val="18"/>
        </w:rPr>
        <w:t xml:space="preserve">Verwaltungsgerichtsordnung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Der Verwaltungsrechtsweg ist in allen öffentlich-rechtlichen Streitigkeiten nichtverfassungsrechtlicher Art gegeben, soweit die Streitigkeiten nicht durch Bundesgesetz einem anderen Gericht ausdrücklich zugewiesen sind. Öffentlich-rechtliche Streitigkeiten auf dem Gebiet des Landesrechts können einem anderen Gericht auch durch Landesgesetz zugewiesen werden.</w:t>
      </w:r>
    </w:p>
    <w:p>
      <w:r>
        <w:t xml:space="preserve">(2) Für vermögensrechtliche Ansprüche aus Aufopferung für das gemeine Wohl und aus öffentlich-rechtlicher Verwahrung sowie für Schadensersatzansprüche aus der Verletzung öffentlich-rechtlicher Pflichten, die nicht auf einem öffentlich-rechtlichen Vertrag beruhen, ist der ordentliche Rechtsweg gegeben; dies gilt nicht für Streitigkeiten über das Bestehen und die Höhe eines Ausgleichsanspruchs im Rahmen des Artikels 14 Abs. 1 Satz 2 des Grundgesetzes. Die besonderen Vorschriften des Beamtenrechts sowie über den Rechtsweg bei Ausgleich von Vermögensnachteilen wegen Rücknahme rechtswidriger Verwaltungsakte bleiben unberührt.</w:t>
      </w:r>
    </w:p>
    <w:p>
      <w:r>
        <w:rPr>
          <w:color w:val="555555"/>
          <w:sz w:val="17"/>
        </w:rPr>
        <w:t xml:space="preserve">Zitiervorschlag: § 40 VwGO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https://recht.nulegal.eu/gesetze/VwGO/40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