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Der Vertreter des Bundesinteresses beim Bundesverwaltungsgericht und seine hauptamtlichen Mitarbeiter des höheren Dienstes müssen die Befähigung zum Richteramt haben.</w:t>
      </w:r>
    </w:p>
    <w:p>
      <w:r>
        <w:t xml:space="preserve">(2) Der Vertreter des öffentlichen Interesses bei dem Oberverwaltungsgericht und bei dem Verwaltungsgericht muß die Befähigung zum Richteramt nach dem Deutschen Richtergesetz haben; § 174 bleibt unberührt.</w:t>
      </w:r>
    </w:p>
    <w:p>
      <w:r>
        <w:rPr>
          <w:color w:val="555555"/>
          <w:sz w:val="17"/>
        </w:rPr>
        <w:t xml:space="preserve">Zitiervorschlag: § 37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https://recht.nulegal.eu/gesetze/VwGO/37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