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Präsidium des Verwaltungsgerichts bestimmt vor Beginn des Geschäftsjahres die Reihenfolge, in der die ehrenamtlichen Richter zu den Sitzungen heranzuziehen sind.</w:t>
      </w:r>
    </w:p>
    <w:p>
      <w:r>
        <w:t xml:space="preserve">(2) Für die Heranziehung von Vertretern bei unvorhergesehener Verhinderung kann eine Hilfsliste aus ehrenamtlichen Richtern aufgestellt werden, die am Gerichtssitz oder in seiner Nähe wohnen.</w:t>
      </w:r>
    </w:p>
    <w:p>
      <w:r>
        <w:rPr>
          <w:color w:val="555555"/>
          <w:sz w:val="17"/>
        </w:rPr>
        <w:t xml:space="preserve">Zitiervorschlag: § 30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