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Ausschuß wählt aus den Vorschlagslisten mit einer Mehrheit von mindestens zwei Dritteln der Stimmen die erforderliche Zahl von ehrenamtlichen Richtern.</w:t>
      </w:r>
    </w:p>
    <w:p>
      <w:r>
        <w:t xml:space="preserve">(2) Bis zur Neuwahl bleiben die bisherigen ehrenamtlichen Richter im Amt.</w:t>
      </w:r>
    </w:p>
    <w:p>
      <w:r>
        <w:rPr>
          <w:color w:val="555555"/>
          <w:sz w:val="17"/>
        </w:rPr>
        <w:t xml:space="preserve">Zitiervorschlag: § 29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