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ehrenamtlichen Richtern können nicht berufen werden</w:t>
      </w:r>
    </w:p>
    <w:p>
      <w:pPr>
        <w:ind w:left="420"/>
      </w:pPr>
      <w:r>
        <w:t xml:space="preserve">1. Mitglieder des Bundestages, des Europäischen Parlaments, der gesetzgebenden Körperschaften eines Landes, der Bundesregierung oder einer Landesregierung,</w:t>
      </w:r>
    </w:p>
    <w:p>
      <w:pPr>
        <w:ind w:left="420"/>
      </w:pPr>
      <w:r>
        <w:t xml:space="preserve">2. Richter,</w:t>
      </w:r>
    </w:p>
    <w:p>
      <w:pPr>
        <w:ind w:left="420"/>
      </w:pPr>
      <w:r>
        <w:t xml:space="preserve">3. Beamte und Angestellte im öffentlichen Dienst, soweit sie nicht ehrenamtlich tätig sind,</w:t>
      </w:r>
    </w:p>
    <w:p>
      <w:pPr>
        <w:ind w:left="420"/>
      </w:pPr>
      <w:r>
        <w:t xml:space="preserve">4. Berufssoldaten und Soldaten auf Zeit,</w:t>
      </w:r>
    </w:p>
    <w:p>
      <w:pPr>
        <w:ind w:left="420"/>
      </w:pPr>
      <w:r>
        <w:t xml:space="preserve">4a. (weggefallen)</w:t>
      </w:r>
    </w:p>
    <w:p>
      <w:pPr>
        <w:ind w:left="420"/>
      </w:pPr>
      <w:r>
        <w:t xml:space="preserve">5. Rechtsanwälte, Notare und Personen, die fremde Rechtsangelegenheiten geschäftsmäßig besorgen.</w:t>
      </w:r>
    </w:p>
    <w:p>
      <w:r>
        <w:rPr>
          <w:color w:val="555555"/>
          <w:sz w:val="17"/>
        </w:rPr>
        <w:t xml:space="preserve">Zitiervorschlag: § 22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