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Vom Amt des ehrenamtlichen Richters sind ausgeschlossen</w:t>
      </w:r>
    </w:p>
    <w:p>
      <w:pPr>
        <w:ind w:left="420"/>
      </w:pPr>
      <w:r>
        <w:t xml:space="preserve">1. Personen, die infolge Richterspruchs die Fähigkeit zur Bekleidung öffentlicher Ämter nicht besitzen oder wegen einer vorsätzlichen Tat zu einer Freiheitsstrafe von mehr als sechs Monaten verurteilt worden sind,</w:t>
      </w:r>
    </w:p>
    <w:p>
      <w:pPr>
        <w:ind w:left="420"/>
      </w:pPr>
      <w:r>
        <w:t xml:space="preserve">2. Personen, gegen die Anklage wegen einer Tat erhoben ist, die den Verlust der Fähigkeit zur Bekleidung öffentlicher Ämter zur Folge haben kann,</w:t>
      </w:r>
    </w:p>
    <w:p>
      <w:pPr>
        <w:ind w:left="420"/>
      </w:pPr>
      <w:r>
        <w:t xml:space="preserve">3. Personen, die nicht das Wahlrecht zu den gesetzgebenden Körperschaften des Landes besitzen.</w:t>
      </w:r>
    </w:p>
    <w:p>
      <w:r>
        <w:t xml:space="preserve">(2) Personen, die in Vermögensverfall geraten sind, sollen nicht zu ehrenamtlichen Richtern berufen werden.</w:t>
      </w:r>
    </w:p>
    <w:p>
      <w:r>
        <w:rPr>
          <w:color w:val="555555"/>
          <w:sz w:val="17"/>
        </w:rPr>
        <w:t xml:space="preserve">Zitiervorschlag: § 21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