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195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(Inkrafttreten)</w:t>
      </w:r>
    </w:p>
    <w:p>
      <w:r>
        <w:t xml:space="preserve">(2) bis (6) (Aufhebungs-, Änderungs- und zeitlich überholte Vorschriften)</w:t>
      </w:r>
    </w:p>
    <w:p>
      <w:r>
        <w:t xml:space="preserve">(7) Für Rechtsvorschriften im Sinne des § 47, die vor dem 1. Januar 2007 bekannt gemacht worden sind, gilt die Frist des § 47 Abs. 2 in der bis zum Ablauf des 31. Dezember 2006 geltenden Fassung.</w:t>
      </w:r>
    </w:p>
    <w:p>
      <w:r>
        <w:rPr>
          <w:color w:val="555555"/>
          <w:sz w:val="17"/>
        </w:rPr>
        <w:t xml:space="preserve">Zitiervorschlag: § 195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