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191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(Änderungsvorschrift)</w:t>
      </w:r>
    </w:p>
    <w:p>
      <w:r>
        <w:t xml:space="preserve">(2) § 127 des Beamtenrechtsrahmengesetzes und § 54 des Beamtenstatusgesetzes bleiben unberührt.</w:t>
      </w:r>
    </w:p>
    <w:p>
      <w:r>
        <w:rPr>
          <w:color w:val="555555"/>
          <w:sz w:val="17"/>
        </w:rPr>
        <w:t xml:space="preserve">Zitiervorschlag: § 191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https://recht.nulegal.eu/gesetze/VwGO/191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