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189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nach § 99 Abs. 2 zu treffenden Entscheidungen sind bei den Oberverwaltungsgerichten und dem Bundesverwaltungsgericht Fachsenate zu bilden.</w:t>
      </w:r>
    </w:p>
    <w:p>
      <w:r>
        <w:rPr>
          <w:color w:val="555555"/>
          <w:sz w:val="17"/>
        </w:rPr>
        <w:t xml:space="preserve">Zitiervorschlag: § 189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