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188a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11.12.2020 (konsolidierte Textfassung, kein amtliches Inkrafttretensdatum)</w:t>
      </w:r>
    </w:p>
    <w:p>
      <w:r>
        <w:t xml:space="preserve">Für Angelegenheiten des Wirtschaftsrechts können besondere Kammern oder Senate gebildet werden (Wirtschaftskammern, Wirtschaftssenate). Die Sachgebiete der Wirtschaftsverfassung, Wirtschaftslenkung, Marktordnung und Außenwirtschaft, des Gewerberechts sowie des Post-, Fernmelde- und Telekommunikationsrechts sollen in den Wirtschaftskammern oder Wirtschaftssenaten zusammengefasst werden. Darüber hinaus können den Wirtschaftskammern oder Wirtschaftssenaten weitere Streitigkeiten mit einem Bezug zum Wirtschaftsrecht zugewiesen werden.</w:t>
      </w:r>
    </w:p>
    <w:p>
      <w:r>
        <w:rPr>
          <w:color w:val="555555"/>
          <w:sz w:val="17"/>
        </w:rPr>
        <w:t xml:space="preserve">Zitiervorschlag: § 188a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https://recht.nulegal.eu/gesetze/VwGO/188a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