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187 VwGO</w:t>
      </w:r>
    </w:p>
    <w:p>
      <w:r>
        <w:rPr>
          <w:color w:val="555555"/>
          <w:sz w:val="18"/>
        </w:rPr>
        <w:t xml:space="preserve">Verwaltungsgerichtsordnung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Die Länder können den Gerichten der Verwaltungsgerichtsbarkeit Aufgaben der Disziplinargerichtsbarkeit und der Schiedsgerichtsbarkeit bei Vermögensauseinandersetzungen öffentlich-rechtlicher Verbände übertragen, diesen Gerichten Berufsgerichte angliedern sowie dabei die Besetzung und das Verfahren regeln.</w:t>
      </w:r>
    </w:p>
    <w:p>
      <w:r>
        <w:t xml:space="preserve">(2) Die Länder können ferner für das Gebiet des Personalvertretungsrechts von diesem Gesetz abweichende Vorschriften über die Besetzung und das Verfahren der Verwaltungsgerichte und des Oberverwaltungsgerichts erlassen.</w:t>
      </w:r>
    </w:p>
    <w:p>
      <w:r>
        <w:t xml:space="preserve">(3) (weggefallen)</w:t>
      </w:r>
    </w:p>
    <w:p>
      <w:r>
        <w:rPr>
          <w:color w:val="555555"/>
          <w:sz w:val="17"/>
        </w:rPr>
        <w:t xml:space="preserve">Zitiervorschlag: § 187 VwGO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https://recht.nulegal.eu/gesetze/VwGO/187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