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185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11.12.2020 (konsolidierte Textfassung, kein amtliches Inkrafttretensdatum)</w:t>
      </w:r>
    </w:p>
    <w:p>
      <w:r>
        <w:t xml:space="preserve">(1) In den Ländern Berlin und Hamburg treten an die Stelle der Kreise im Sinne des § 28 die Bezirke.</w:t>
      </w:r>
    </w:p>
    <w:p>
      <w:r>
        <w:t xml:space="preserve">(2) Die Länder Berlin, Brandenburg, Bremen, Hamburg, Mecklenburg-Vorpommern, Saarland und Schleswig-Holstein können Abweichungen von den Vorschriften des § 73 Abs. 1 Satz 2 zulassen.</w:t>
      </w:r>
    </w:p>
    <w:p>
      <w:r>
        <w:t xml:space="preserve">(3) In den Ländern Berlin und Bremen treten an die Stelle der Landesstraßen im Sinne des § 48 Absatz 1 Satz 1 Nummer 8 die Straßen I. Ordnung nach § 20 Nummer 1 des Berliner Straßengesetzes und die Straßen der Gruppe A nach § 3 Absatz 1 Nummer 1 des Bremischen Landesstraßengesetzes.</w:t>
      </w:r>
    </w:p>
    <w:p>
      <w:r>
        <w:rPr>
          <w:color w:val="555555"/>
          <w:sz w:val="17"/>
        </w:rPr>
        <w:t xml:space="preserve">Zitiervorschlag: § 185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https://recht.nulegal.eu/gesetze/VwGO/185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