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177 VwGO</w:t>
      </w:r>
    </w:p>
    <w:p>
      <w:r>
        <w:rPr>
          <w:color w:val="555555"/>
          <w:sz w:val="18"/>
        </w:rPr>
        <w:t xml:space="preserve">Verwaltungsgerichtsordnung</w:t>
      </w:r>
    </w:p>
    <w:p>
      <w:r>
        <w:rPr>
          <w:color w:val="555555"/>
          <w:sz w:val="18"/>
        </w:rPr>
        <w:t xml:space="preserve">Stand: 01.01.2026 (konsolidierte Textfassung, kein amtliches Inkrafttretensdatum)</w:t>
      </w:r>
    </w:p>
    <w:p>
      <w:r>
        <w:t xml:space="preserve">Dokumente und Aktenteile, die nach den Verschlusssachenanweisungen des Bundes oder der Länder als Verschlusssache höher als VS-NUR FÜR DEN DIENSTGEBRAUCH eingestuft sind, dürfen bis zum 31. Dezember 2035 abweichend von den §§ 55a bis 55d in Papierform erstellt, geführt und übermittelt werden. Dokumente und Aktenteile, die nach den Verschlusssachenanweisungen des Bundes oder der Länder als Verschlusssache VS-NUR FÜR DEN DIENSTGEBRAUCH eingestuft sind, dürfen bis zum 31. Dezember 2035 abweichend von den §§ 55a bis 55d in Papierform übermittelt werden. Die für die Handhabung von Verschlusssachen geltenden Geheimschutzvorschriften bleiben unberührt.</w:t>
      </w:r>
    </w:p>
    <w:p>
      <w:r>
        <w:rPr>
          <w:color w:val="555555"/>
          <w:sz w:val="17"/>
        </w:rPr>
        <w:t xml:space="preserve">Zitiervorschlag: § 177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