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176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Bei den Verwaltungsgerichten dürfen bis zum Ablauf des 31. Dezember 2025 abweichend von § 29 Absatz 1 des Deutschen Richtergesetzes bei einer gerichtlichen Entscheidung auch mitwirken:</w:t>
      </w:r>
    </w:p>
    <w:p>
      <w:pPr>
        <w:ind w:left="420"/>
      </w:pPr>
      <w:r>
        <w:t xml:space="preserve">1. zwei abgeordnete Richter auf Lebenszeit oder</w:t>
      </w:r>
    </w:p>
    <w:p>
      <w:pPr>
        <w:ind w:left="420"/>
      </w:pPr>
      <w:r>
        <w:t xml:space="preserve">2. ein abgeordneter Richter auf Lebenszeit und entweder ein Richter auf Probe oder ein Richter kraft Auftrags.</w:t>
      </w:r>
    </w:p>
    <w:p>
      <w:r>
        <w:rPr>
          <w:color w:val="555555"/>
          <w:sz w:val="17"/>
        </w:rPr>
        <w:t xml:space="preserve">Zitiervorschlag: § 176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